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right="2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</w:t>
      </w:r>
    </w:p>
    <w:p>
      <w:pPr>
        <w:spacing w:before="0" w:after="0" w:line="240" w:lineRule="atLeast"/>
        <w:ind w:right="22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Бочкаревой В.В.,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Бочкаревой Валентины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об административном правонарушении от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№6005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регионального </w:t>
      </w:r>
      <w:r>
        <w:rPr>
          <w:rStyle w:val="cat-UserDefinedgrp-2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Бочкарева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с правонарушением не согласилась, пояснила, что председателем Общественного движения является только с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с последнего дня, когда необходимо было предоставить налоговую декларацию. При этом предыдущий председатель уже не мог подписать и направить декларацию в налоговую службу, а она еще физически не могла это сделать, так как процедура регистрации ее как председателя шла 5 дней, у нее отсутствовала электронная подпись. Об этом она заявляла в налоговую службу. По аналогичному правонарушению налоговая провела проверку и вынесла решение об отказе в привлечении ее к административной ответственности. Бочкарева В.В. просила прекратить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Бочкаревой В.В.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6005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Бочкаревой В.В. административным органом квалифицированы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15.6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26.2 КоАП РФ, доказательствами по делу об административном правонарушении являются любые фактические данные, на основании которых орган, в производстве которого находится дело, устанавливает наличие либо отсутствие события административного правонарушения, а также иные основания,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КоАП РФ, показаниями потерпевшего, свидетелей, иными документами, а также вещественными доказательствами.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суду доказательства оценены судом в соответствии с правилами ст. 26.11 КоАП РФ и признаются судом не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Бочкаревой В.В</w:t>
      </w:r>
      <w:r>
        <w:rPr>
          <w:rFonts w:ascii="Times New Roman" w:eastAsia="Times New Roman" w:hAnsi="Times New Roman" w:cs="Times New Roman"/>
          <w:sz w:val="28"/>
          <w:szCs w:val="28"/>
        </w:rPr>
        <w:t>. состава вменяемого административного правонарушения.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2.4 КоАП РФ должностные лица подлежат административной ответственности в случае совершения ими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Субъектом административного правонарушения, предусмотренного ч. 1 ст. 15.6 КоАП РФ мож</w:t>
      </w:r>
      <w:r>
        <w:rPr>
          <w:rFonts w:ascii="Times New Roman" w:eastAsia="Times New Roman" w:hAnsi="Times New Roman" w:cs="Times New Roman"/>
          <w:sz w:val="28"/>
          <w:szCs w:val="28"/>
        </w:rPr>
        <w:t>ет быть только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выписке из ЕГРЮЛ от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UserDefinedgrp-22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Бочкарева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Style w:val="cat-Dategrp-8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со дня окончания срока подачи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налоговый орган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суд уч</w:t>
      </w:r>
      <w:r>
        <w:rPr>
          <w:rFonts w:ascii="Times New Roman" w:eastAsia="Times New Roman" w:hAnsi="Times New Roman" w:cs="Times New Roman"/>
          <w:sz w:val="28"/>
          <w:szCs w:val="28"/>
        </w:rPr>
        <w:t>итывает, что в указанный день Бо</w:t>
      </w:r>
      <w:r>
        <w:rPr>
          <w:rFonts w:ascii="Times New Roman" w:eastAsia="Times New Roman" w:hAnsi="Times New Roman" w:cs="Times New Roman"/>
          <w:sz w:val="28"/>
          <w:szCs w:val="28"/>
        </w:rPr>
        <w:t>чкарева В.В. не имела технической возможности направить декларацию, в виду отсутствия у нее квалифицированной электронной подписи. Доказательств обратного суду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суд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в действиях (бездействии) Бочкаревой В.В. отсутствует вина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 по рассматриваемому делу, поскольку на момент наступления события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она фактически не имела возможности полноценно исполнять свои должностные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24.5 КоАП РФ, производство об административном правонарушении не может быт начато, а начатое производство подлежит прекращению в связи с отсутствием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29.4 КоАП РФ, при наличии обстоятельств, предусмотренных ст. 24.5 КоАП РФ, выносился постановление о прекращении производства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дело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Бочкаревой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прекращению в связи с отсутствием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1.5, ст. 24.5, 29.9,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ч. 1 ст. 15.6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Бочкаревой Валентины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по основанию, предусмотренному п.2 ч. 1 ст. 24.5 Кодекса Российской Федерации об административных правонарушениях, в связи с отсутствием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</w:t>
      </w:r>
      <w:r>
        <w:rPr>
          <w:rFonts w:ascii="Times New Roman" w:eastAsia="Times New Roman" w:hAnsi="Times New Roman" w:cs="Times New Roman"/>
          <w:sz w:val="28"/>
          <w:szCs w:val="28"/>
        </w:rPr>
        <w:t>ачения Сургута в течение 10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7rplc-7">
    <w:name w:val="cat-ExternalSystemDefined grp-17 rplc-7"/>
    <w:basedOn w:val="DefaultParagraphFont"/>
  </w:style>
  <w:style w:type="character" w:customStyle="1" w:styleId="cat-PassportDatagrp-15rplc-8">
    <w:name w:val="cat-PassportData grp-15 rplc-8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PassportDatagrp-16rplc-12">
    <w:name w:val="cat-PassportData grp-16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ExternalSystemDefinedgrp-18rplc-14">
    <w:name w:val="cat-ExternalSystemDefined grp-18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UserDefinedgrp-22rplc-28">
    <w:name w:val="cat-UserDefined grp-22 rplc-28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Dategrp-9rplc-32">
    <w:name w:val="cat-Date grp-9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